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055C9C8F"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1F2ECE">
        <w:rPr>
          <w:rFonts w:ascii="GHEA Grapalat" w:hAnsi="GHEA Grapalat"/>
          <w:b/>
          <w:bCs/>
          <w:i/>
          <w:iCs/>
          <w:lang w:val="hy-AM"/>
        </w:rPr>
        <w:t>30</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58E8991E" w:rsidR="002F76E3" w:rsidRDefault="002A77D1" w:rsidP="00BF0B4B">
      <w:pPr>
        <w:ind w:firstLine="720"/>
        <w:jc w:val="both"/>
        <w:rPr>
          <w:rFonts w:ascii="GHEA Grapalat" w:hAnsi="GHEA Grapalat"/>
          <w:b/>
          <w:bCs/>
          <w:lang w:val="hy-AM"/>
        </w:rPr>
      </w:pPr>
      <w:bookmarkStart w:id="0" w:name="_Hlk181874982"/>
      <w:r w:rsidRPr="002A77D1">
        <w:rPr>
          <w:rFonts w:ascii="GHEA Grapalat" w:hAnsi="GHEA Grapalat"/>
          <w:b/>
          <w:bCs/>
          <w:lang w:val="hy-AM"/>
        </w:rPr>
        <w:t xml:space="preserve">Հայաստանի Հանրապետության կառավարության 2026 թվականի մարտի 19-ի N 327-Ա որոշմամբ </w:t>
      </w:r>
      <w:r w:rsidRPr="002A77D1">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և Հայաստանի Հանրապետության էկոնոմիկայի նախարարությանը ամրացված, պետական սեփականություն հանդիսացող անշարժ գույքը</w:t>
      </w:r>
      <w:r w:rsidR="002F76E3" w:rsidRPr="005F628B">
        <w:rPr>
          <w:rFonts w:ascii="GHEA Grapalat" w:hAnsi="GHEA Grapalat"/>
          <w:b/>
          <w:bCs/>
          <w:lang w:val="hy-AM"/>
        </w:rPr>
        <w:t xml:space="preserve">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73"/>
        <w:gridCol w:w="1486"/>
        <w:gridCol w:w="1425"/>
        <w:gridCol w:w="1073"/>
        <w:gridCol w:w="1400"/>
        <w:gridCol w:w="1583"/>
        <w:gridCol w:w="1461"/>
        <w:gridCol w:w="1386"/>
        <w:gridCol w:w="1382"/>
        <w:gridCol w:w="1534"/>
      </w:tblGrid>
      <w:tr w:rsidR="002A77D1" w:rsidRPr="00B846C0" w14:paraId="15C289FC" w14:textId="77777777" w:rsidTr="002A77D1">
        <w:trPr>
          <w:trHeight w:val="2327"/>
          <w:jc w:val="center"/>
        </w:trPr>
        <w:tc>
          <w:tcPr>
            <w:tcW w:w="1093" w:type="dxa"/>
            <w:vAlign w:val="center"/>
            <w:hideMark/>
          </w:tcPr>
          <w:p w14:paraId="63CA0D49" w14:textId="3FF38DDA"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1F2ECE">
              <w:rPr>
                <w:rFonts w:ascii="GHEA Grapalat" w:eastAsia="Times New Roman" w:hAnsi="GHEA Grapalat" w:cs="Calibri"/>
                <w:b/>
                <w:bCs/>
                <w:kern w:val="0"/>
                <w:sz w:val="16"/>
                <w:szCs w:val="16"/>
                <w14:ligatures w14:val="none"/>
              </w:rPr>
              <w:t>Որոշման հավելվածի լոտի համարը</w:t>
            </w:r>
          </w:p>
        </w:tc>
        <w:tc>
          <w:tcPr>
            <w:tcW w:w="1173" w:type="dxa"/>
            <w:vAlign w:val="center"/>
            <w:hideMark/>
          </w:tcPr>
          <w:p w14:paraId="596CA05B"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486" w:type="dxa"/>
            <w:vAlign w:val="center"/>
            <w:hideMark/>
          </w:tcPr>
          <w:p w14:paraId="3750A00C"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25" w:type="dxa"/>
            <w:vAlign w:val="center"/>
            <w:hideMark/>
          </w:tcPr>
          <w:p w14:paraId="2B18AFCC"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3" w:type="dxa"/>
            <w:vAlign w:val="center"/>
            <w:hideMark/>
          </w:tcPr>
          <w:p w14:paraId="6D1CEADD"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400" w:type="dxa"/>
            <w:vAlign w:val="center"/>
            <w:hideMark/>
          </w:tcPr>
          <w:p w14:paraId="096B249D" w14:textId="77777777" w:rsidR="001F2ECE"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6E68461E"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83" w:type="dxa"/>
            <w:vAlign w:val="center"/>
          </w:tcPr>
          <w:p w14:paraId="3156D7BF"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D46838">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461" w:type="dxa"/>
            <w:vAlign w:val="center"/>
            <w:hideMark/>
          </w:tcPr>
          <w:p w14:paraId="6B9F951F"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6" w:type="dxa"/>
            <w:vAlign w:val="center"/>
            <w:hideMark/>
          </w:tcPr>
          <w:p w14:paraId="6428C530"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2" w:type="dxa"/>
            <w:vAlign w:val="center"/>
          </w:tcPr>
          <w:p w14:paraId="0B21B741" w14:textId="77777777" w:rsidR="001F2ECE"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277FF2E9"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34" w:type="dxa"/>
            <w:vAlign w:val="center"/>
            <w:hideMark/>
          </w:tcPr>
          <w:p w14:paraId="72969442" w14:textId="77777777" w:rsidR="001F2ECE" w:rsidRPr="00FB7D11" w:rsidRDefault="001F2ECE" w:rsidP="001C5B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2A77D1" w:rsidRPr="007E768C" w14:paraId="611520CC" w14:textId="77777777" w:rsidTr="002A77D1">
        <w:trPr>
          <w:trHeight w:val="2145"/>
          <w:jc w:val="center"/>
        </w:trPr>
        <w:tc>
          <w:tcPr>
            <w:tcW w:w="1093" w:type="dxa"/>
            <w:noWrap/>
            <w:vAlign w:val="center"/>
            <w:hideMark/>
          </w:tcPr>
          <w:p w14:paraId="694DDD0D" w14:textId="77777777" w:rsidR="001F2ECE" w:rsidRPr="006453A4" w:rsidRDefault="001F2ECE" w:rsidP="001C5B0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73" w:type="dxa"/>
            <w:shd w:val="clear" w:color="000000" w:fill="FFFFFF"/>
            <w:vAlign w:val="center"/>
            <w:hideMark/>
          </w:tcPr>
          <w:p w14:paraId="6B2632C8" w14:textId="77777777" w:rsidR="001F2ECE" w:rsidRPr="00162326" w:rsidRDefault="001F2ECE" w:rsidP="001C5B00">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շինություն</w:t>
            </w:r>
          </w:p>
        </w:tc>
        <w:tc>
          <w:tcPr>
            <w:tcW w:w="1486" w:type="dxa"/>
            <w:vAlign w:val="center"/>
          </w:tcPr>
          <w:p w14:paraId="3377148C" w14:textId="77777777" w:rsidR="001F2ECE" w:rsidRPr="00570664" w:rsidRDefault="001F2ECE" w:rsidP="001C5B00">
            <w:pPr>
              <w:jc w:val="center"/>
              <w:rPr>
                <w:rFonts w:ascii="GHEA Grapalat" w:eastAsia="Times New Roman" w:hAnsi="GHEA Grapalat" w:cs="Calibri"/>
                <w:kern w:val="0"/>
                <w:sz w:val="16"/>
                <w:szCs w:val="16"/>
                <w:lang w:val="hy-AM"/>
                <w14:ligatures w14:val="none"/>
              </w:rPr>
            </w:pPr>
            <w:r w:rsidRPr="00083169">
              <w:rPr>
                <w:rFonts w:ascii="GHEA Grapalat" w:eastAsia="Times New Roman" w:hAnsi="GHEA Grapalat" w:cs="Calibri"/>
                <w:kern w:val="0"/>
                <w:sz w:val="16"/>
                <w:szCs w:val="16"/>
                <w:lang w:val="hy-AM"/>
                <w14:ligatures w14:val="none"/>
              </w:rPr>
              <w:t>Երևան, Արաբկիր Կոմիտասի պողոտա 49/3</w:t>
            </w:r>
            <w:r w:rsidRPr="002F3F7A">
              <w:rPr>
                <w:rFonts w:ascii="GHEA Grapalat" w:eastAsia="Times New Roman" w:hAnsi="GHEA Grapalat" w:cs="Calibri"/>
                <w:kern w:val="0"/>
                <w:sz w:val="16"/>
                <w:szCs w:val="16"/>
                <w:lang w:val="hy-AM"/>
                <w14:ligatures w14:val="none"/>
              </w:rPr>
              <w:t xml:space="preserve"> (Վկայական N 17012022-01-0174)</w:t>
            </w:r>
          </w:p>
        </w:tc>
        <w:tc>
          <w:tcPr>
            <w:tcW w:w="1425" w:type="dxa"/>
            <w:vAlign w:val="center"/>
          </w:tcPr>
          <w:p w14:paraId="7A5C1C4B" w14:textId="77777777" w:rsidR="001F2ECE" w:rsidRPr="00162326" w:rsidRDefault="001F2ECE" w:rsidP="001C5B00">
            <w:pPr>
              <w:spacing w:after="0" w:line="240" w:lineRule="auto"/>
              <w:jc w:val="center"/>
              <w:rPr>
                <w:rFonts w:ascii="GHEA Grapalat" w:eastAsia="Times New Roman" w:hAnsi="GHEA Grapalat" w:cs="Calibri"/>
                <w:kern w:val="0"/>
                <w:sz w:val="16"/>
                <w:szCs w:val="16"/>
                <w:highlight w:val="yellow"/>
                <w:lang w:val="hy-AM"/>
                <w14:ligatures w14:val="none"/>
              </w:rPr>
            </w:pPr>
            <w:r w:rsidRPr="00083169">
              <w:rPr>
                <w:rFonts w:ascii="GHEA Grapalat" w:eastAsia="Times New Roman" w:hAnsi="GHEA Grapalat" w:cs="Calibri"/>
                <w:kern w:val="0"/>
                <w:sz w:val="16"/>
                <w:szCs w:val="16"/>
                <w:lang w:val="hy-AM"/>
                <w14:ligatures w14:val="none"/>
              </w:rPr>
              <w:t>15 102.5</w:t>
            </w:r>
          </w:p>
        </w:tc>
        <w:tc>
          <w:tcPr>
            <w:tcW w:w="1073" w:type="dxa"/>
            <w:vAlign w:val="center"/>
          </w:tcPr>
          <w:p w14:paraId="3AB6567E" w14:textId="77777777" w:rsidR="001F2ECE" w:rsidRPr="00162326" w:rsidRDefault="001F2ECE" w:rsidP="001C5B00">
            <w:pPr>
              <w:spacing w:after="0" w:line="240" w:lineRule="auto"/>
              <w:jc w:val="center"/>
              <w:rPr>
                <w:rFonts w:ascii="GHEA Grapalat" w:eastAsia="Times New Roman" w:hAnsi="GHEA Grapalat" w:cs="Calibri"/>
                <w:kern w:val="0"/>
                <w:sz w:val="16"/>
                <w:szCs w:val="16"/>
                <w:highlight w:val="yellow"/>
                <w:lang w:val="hy-AM"/>
                <w14:ligatures w14:val="none"/>
              </w:rPr>
            </w:pPr>
            <w:r w:rsidRPr="00083169">
              <w:rPr>
                <w:rFonts w:ascii="GHEA Grapalat" w:eastAsia="Times New Roman" w:hAnsi="GHEA Grapalat" w:cs="Calibri"/>
                <w:kern w:val="0"/>
                <w:sz w:val="16"/>
                <w:szCs w:val="16"/>
                <w:lang w:val="hy-AM"/>
                <w14:ligatures w14:val="none"/>
              </w:rPr>
              <w:t>0.618758</w:t>
            </w:r>
          </w:p>
        </w:tc>
        <w:tc>
          <w:tcPr>
            <w:tcW w:w="1400" w:type="dxa"/>
            <w:vAlign w:val="center"/>
          </w:tcPr>
          <w:p w14:paraId="0020F353" w14:textId="77777777" w:rsidR="001F2ECE" w:rsidRPr="00162326" w:rsidRDefault="001F2ECE" w:rsidP="001C5B00">
            <w:pPr>
              <w:spacing w:after="0" w:line="240" w:lineRule="auto"/>
              <w:jc w:val="center"/>
              <w:rPr>
                <w:rFonts w:ascii="GHEA Grapalat" w:eastAsia="Times New Roman" w:hAnsi="GHEA Grapalat" w:cs="Calibri"/>
                <w:kern w:val="0"/>
                <w:sz w:val="16"/>
                <w:szCs w:val="16"/>
                <w:highlight w:val="yellow"/>
                <w:lang w:val="hy-AM"/>
                <w14:ligatures w14:val="none"/>
              </w:rPr>
            </w:pPr>
            <w:r w:rsidRPr="00083169">
              <w:rPr>
                <w:rFonts w:ascii="GHEA Grapalat" w:eastAsia="Times New Roman" w:hAnsi="GHEA Grapalat" w:cs="Calibri"/>
                <w:kern w:val="0"/>
                <w:sz w:val="16"/>
                <w:szCs w:val="16"/>
                <w:lang w:val="hy-AM"/>
                <w14:ligatures w14:val="none"/>
              </w:rPr>
              <w:t>5 536 800 000</w:t>
            </w:r>
          </w:p>
        </w:tc>
        <w:tc>
          <w:tcPr>
            <w:tcW w:w="1583" w:type="dxa"/>
            <w:vAlign w:val="center"/>
          </w:tcPr>
          <w:p w14:paraId="0B235893" w14:textId="77777777" w:rsidR="001F2ECE" w:rsidRPr="00162326" w:rsidRDefault="001F2ECE" w:rsidP="001C5B00">
            <w:pPr>
              <w:spacing w:after="0" w:line="240" w:lineRule="auto"/>
              <w:jc w:val="center"/>
              <w:rPr>
                <w:rFonts w:ascii="GHEA Grapalat" w:eastAsia="Times New Roman" w:hAnsi="GHEA Grapalat" w:cs="Calibri"/>
                <w:kern w:val="0"/>
                <w:sz w:val="16"/>
                <w:szCs w:val="16"/>
                <w:highlight w:val="yellow"/>
                <w:lang w:val="hy-AM"/>
                <w14:ligatures w14:val="none"/>
              </w:rPr>
            </w:pPr>
            <w:r w:rsidRPr="00D46838">
              <w:rPr>
                <w:rFonts w:ascii="GHEA Grapalat" w:eastAsia="Times New Roman" w:hAnsi="GHEA Grapalat" w:cs="Calibri"/>
                <w:kern w:val="0"/>
                <w:sz w:val="16"/>
                <w:szCs w:val="16"/>
                <w:lang w:val="hy-AM"/>
                <w14:ligatures w14:val="none"/>
              </w:rPr>
              <w:t>560 767 381.48</w:t>
            </w:r>
          </w:p>
        </w:tc>
        <w:tc>
          <w:tcPr>
            <w:tcW w:w="1461" w:type="dxa"/>
            <w:vAlign w:val="center"/>
          </w:tcPr>
          <w:p w14:paraId="6609B354" w14:textId="77777777" w:rsidR="001F2ECE" w:rsidRPr="003C786C" w:rsidRDefault="001F2ECE" w:rsidP="001C5B00">
            <w:pPr>
              <w:spacing w:after="0" w:line="240" w:lineRule="auto"/>
              <w:jc w:val="center"/>
              <w:rPr>
                <w:rFonts w:ascii="GHEA Grapalat" w:eastAsia="Times New Roman" w:hAnsi="GHEA Grapalat" w:cs="Calibri"/>
                <w:b/>
                <w:bCs/>
                <w:kern w:val="0"/>
                <w:sz w:val="16"/>
                <w:szCs w:val="16"/>
                <w:lang w:val="hy-AM"/>
                <w14:ligatures w14:val="none"/>
              </w:rPr>
            </w:pPr>
            <w:r w:rsidRPr="003C786C">
              <w:rPr>
                <w:rFonts w:ascii="GHEA Grapalat" w:eastAsia="Times New Roman" w:hAnsi="GHEA Grapalat" w:cs="Calibri"/>
                <w:b/>
                <w:bCs/>
                <w:kern w:val="0"/>
                <w:sz w:val="16"/>
                <w:szCs w:val="16"/>
                <w:lang w:val="hy-AM"/>
                <w14:ligatures w14:val="none"/>
              </w:rPr>
              <w:t>4 706 280 000</w:t>
            </w:r>
          </w:p>
        </w:tc>
        <w:tc>
          <w:tcPr>
            <w:tcW w:w="1386" w:type="dxa"/>
            <w:vAlign w:val="center"/>
          </w:tcPr>
          <w:p w14:paraId="1D318103" w14:textId="77777777" w:rsidR="001F2ECE" w:rsidRPr="003C786C" w:rsidRDefault="001F2ECE" w:rsidP="001C5B00">
            <w:pPr>
              <w:spacing w:after="0" w:line="240" w:lineRule="auto"/>
              <w:jc w:val="center"/>
              <w:rPr>
                <w:rFonts w:ascii="GHEA Grapalat" w:eastAsia="Times New Roman" w:hAnsi="GHEA Grapalat" w:cs="Calibri"/>
                <w:b/>
                <w:bCs/>
                <w:kern w:val="0"/>
                <w:sz w:val="16"/>
                <w:szCs w:val="16"/>
                <w:lang w:val="hy-AM"/>
                <w14:ligatures w14:val="none"/>
              </w:rPr>
            </w:pPr>
            <w:r w:rsidRPr="003C786C">
              <w:rPr>
                <w:rFonts w:ascii="GHEA Grapalat" w:eastAsia="Times New Roman" w:hAnsi="GHEA Grapalat" w:cs="Calibri"/>
                <w:b/>
                <w:bCs/>
                <w:kern w:val="0"/>
                <w:sz w:val="16"/>
                <w:szCs w:val="16"/>
                <w:lang w:val="hy-AM"/>
                <w14:ligatures w14:val="none"/>
              </w:rPr>
              <w:t>235</w:t>
            </w:r>
            <w:r w:rsidRPr="003C786C">
              <w:rPr>
                <w:rFonts w:ascii="Calibri" w:eastAsia="Times New Roman" w:hAnsi="Calibri" w:cs="Calibri"/>
                <w:b/>
                <w:bCs/>
                <w:kern w:val="0"/>
                <w:sz w:val="16"/>
                <w:szCs w:val="16"/>
                <w:lang w:val="hy-AM"/>
                <w14:ligatures w14:val="none"/>
              </w:rPr>
              <w:t> </w:t>
            </w:r>
            <w:r w:rsidRPr="003C786C">
              <w:rPr>
                <w:rFonts w:ascii="GHEA Grapalat" w:eastAsia="Times New Roman" w:hAnsi="GHEA Grapalat" w:cs="Calibri"/>
                <w:b/>
                <w:bCs/>
                <w:kern w:val="0"/>
                <w:sz w:val="16"/>
                <w:szCs w:val="16"/>
                <w:lang w:val="hy-AM"/>
                <w14:ligatures w14:val="none"/>
              </w:rPr>
              <w:t>314 000</w:t>
            </w:r>
          </w:p>
        </w:tc>
        <w:tc>
          <w:tcPr>
            <w:tcW w:w="1382" w:type="dxa"/>
            <w:vAlign w:val="center"/>
          </w:tcPr>
          <w:p w14:paraId="0F2F230A" w14:textId="77777777" w:rsidR="001F2ECE" w:rsidRPr="003C786C" w:rsidRDefault="001F2ECE" w:rsidP="001C5B00">
            <w:pPr>
              <w:spacing w:after="0" w:line="240" w:lineRule="auto"/>
              <w:jc w:val="center"/>
              <w:rPr>
                <w:rFonts w:ascii="GHEA Grapalat" w:eastAsia="Times New Roman" w:hAnsi="GHEA Grapalat" w:cs="Calibri"/>
                <w:b/>
                <w:bCs/>
                <w:kern w:val="0"/>
                <w:sz w:val="16"/>
                <w:szCs w:val="16"/>
                <w:lang w:val="hy-AM"/>
                <w14:ligatures w14:val="none"/>
              </w:rPr>
            </w:pPr>
            <w:r w:rsidRPr="003C786C">
              <w:rPr>
                <w:rFonts w:ascii="GHEA Grapalat" w:eastAsia="Times New Roman" w:hAnsi="GHEA Grapalat" w:cs="Calibri"/>
                <w:b/>
                <w:bCs/>
                <w:kern w:val="0"/>
                <w:sz w:val="16"/>
                <w:szCs w:val="16"/>
                <w:lang w:val="hy-AM"/>
                <w14:ligatures w14:val="none"/>
              </w:rPr>
              <w:t>47</w:t>
            </w:r>
            <w:r w:rsidRPr="003C786C">
              <w:rPr>
                <w:rFonts w:ascii="Calibri" w:eastAsia="Times New Roman" w:hAnsi="Calibri" w:cs="Calibri"/>
                <w:b/>
                <w:bCs/>
                <w:kern w:val="0"/>
                <w:sz w:val="16"/>
                <w:szCs w:val="16"/>
                <w:lang w:val="hy-AM"/>
                <w14:ligatures w14:val="none"/>
              </w:rPr>
              <w:t> </w:t>
            </w:r>
            <w:r w:rsidRPr="003C786C">
              <w:rPr>
                <w:rFonts w:ascii="GHEA Grapalat" w:eastAsia="Times New Roman" w:hAnsi="GHEA Grapalat" w:cs="Calibri"/>
                <w:b/>
                <w:bCs/>
                <w:kern w:val="0"/>
                <w:sz w:val="16"/>
                <w:szCs w:val="16"/>
                <w:lang w:val="hy-AM"/>
                <w14:ligatures w14:val="none"/>
              </w:rPr>
              <w:t>062 800</w:t>
            </w:r>
          </w:p>
        </w:tc>
        <w:tc>
          <w:tcPr>
            <w:tcW w:w="1534" w:type="dxa"/>
            <w:vAlign w:val="center"/>
          </w:tcPr>
          <w:p w14:paraId="1E5FED08" w14:textId="77777777" w:rsidR="001F2ECE" w:rsidRPr="003C786C" w:rsidRDefault="001F2ECE" w:rsidP="001C5B00">
            <w:pPr>
              <w:spacing w:after="0" w:line="240" w:lineRule="auto"/>
              <w:jc w:val="center"/>
              <w:rPr>
                <w:rFonts w:ascii="GHEA Grapalat" w:eastAsia="Times New Roman" w:hAnsi="GHEA Grapalat" w:cs="Calibri"/>
                <w:b/>
                <w:bCs/>
                <w:kern w:val="0"/>
                <w:sz w:val="16"/>
                <w:szCs w:val="16"/>
                <w:lang w:val="hy-AM"/>
                <w14:ligatures w14:val="none"/>
              </w:rPr>
            </w:pPr>
            <w:r w:rsidRPr="003C786C">
              <w:rPr>
                <w:rFonts w:ascii="GHEA Grapalat" w:eastAsia="Times New Roman" w:hAnsi="GHEA Grapalat" w:cs="Calibri"/>
                <w:b/>
                <w:bCs/>
                <w:kern w:val="0"/>
                <w:sz w:val="16"/>
                <w:szCs w:val="16"/>
                <w:lang w:val="hy-AM"/>
                <w14:ligatures w14:val="none"/>
              </w:rPr>
              <w:t>2 372 400.96</w:t>
            </w:r>
          </w:p>
        </w:tc>
      </w:tr>
      <w:tr w:rsidR="001F2ECE" w:rsidRPr="003C786C" w14:paraId="77D482F3" w14:textId="77777777" w:rsidTr="001C5B00">
        <w:trPr>
          <w:trHeight w:val="825"/>
          <w:jc w:val="center"/>
        </w:trPr>
        <w:tc>
          <w:tcPr>
            <w:tcW w:w="14996" w:type="dxa"/>
            <w:gridSpan w:val="11"/>
            <w:vAlign w:val="center"/>
          </w:tcPr>
          <w:p w14:paraId="02982A99" w14:textId="77777777" w:rsidR="001F2ECE" w:rsidRPr="00E255AF" w:rsidRDefault="001F2ECE" w:rsidP="001C5B00">
            <w:pPr>
              <w:jc w:val="center"/>
              <w:rPr>
                <w:rFonts w:ascii="GHEA Grapalat" w:eastAsia="Times New Roman" w:hAnsi="GHEA Grapalat" w:cs="Calibri"/>
                <w:kern w:val="0"/>
                <w:sz w:val="18"/>
                <w:szCs w:val="18"/>
                <w:lang w:val="hy-AM"/>
                <w14:ligatures w14:val="none"/>
              </w:rPr>
            </w:pPr>
            <w:r w:rsidRPr="00E255AF">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լավ։</w:t>
            </w:r>
          </w:p>
          <w:p w14:paraId="22A6E60F" w14:textId="77777777" w:rsidR="001F2ECE" w:rsidRPr="00E255AF" w:rsidRDefault="001F2ECE" w:rsidP="001C5B00">
            <w:pPr>
              <w:jc w:val="center"/>
              <w:rPr>
                <w:rFonts w:ascii="GHEA Grapalat" w:eastAsia="Times New Roman" w:hAnsi="GHEA Grapalat" w:cs="Calibri"/>
                <w:kern w:val="0"/>
                <w:sz w:val="18"/>
                <w:szCs w:val="18"/>
                <w:lang w:val="hy-AM"/>
                <w14:ligatures w14:val="none"/>
              </w:rPr>
            </w:pPr>
            <w:r w:rsidRPr="00E255AF">
              <w:rPr>
                <w:rFonts w:ascii="GHEA Grapalat" w:eastAsia="Times New Roman" w:hAnsi="GHEA Grapalat" w:cs="Calibri"/>
                <w:kern w:val="0"/>
                <w:sz w:val="18"/>
                <w:szCs w:val="18"/>
                <w:lang w:val="hy-AM"/>
                <w14:ligatures w14:val="none"/>
              </w:rPr>
              <w:t>Գույքը ծանրաբեռնված է վարձակալությա</w:t>
            </w:r>
            <w:r>
              <w:rPr>
                <w:rFonts w:ascii="GHEA Grapalat" w:eastAsia="Times New Roman" w:hAnsi="GHEA Grapalat" w:cs="Calibri"/>
                <w:kern w:val="0"/>
                <w:sz w:val="18"/>
                <w:szCs w:val="18"/>
                <w:lang w:val="hy-AM"/>
                <w14:ligatures w14:val="none"/>
              </w:rPr>
              <w:t>ն</w:t>
            </w:r>
            <w:r w:rsidRPr="00E255AF">
              <w:rPr>
                <w:rFonts w:ascii="GHEA Grapalat" w:eastAsia="Times New Roman" w:hAnsi="GHEA Grapalat" w:cs="Calibri"/>
                <w:kern w:val="0"/>
                <w:sz w:val="18"/>
                <w:szCs w:val="18"/>
                <w:lang w:val="hy-AM"/>
                <w14:ligatures w14:val="none"/>
              </w:rPr>
              <w:t xml:space="preserve"> և անհատույց օգտագործման իրավունք</w:t>
            </w:r>
            <w:r>
              <w:rPr>
                <w:rFonts w:ascii="GHEA Grapalat" w:eastAsia="Times New Roman" w:hAnsi="GHEA Grapalat" w:cs="Calibri"/>
                <w:kern w:val="0"/>
                <w:sz w:val="18"/>
                <w:szCs w:val="18"/>
                <w:lang w:val="hy-AM"/>
                <w14:ligatures w14:val="none"/>
              </w:rPr>
              <w:t>ներ</w:t>
            </w:r>
            <w:r w:rsidRPr="00E255AF">
              <w:rPr>
                <w:rFonts w:ascii="GHEA Grapalat" w:eastAsia="Times New Roman" w:hAnsi="GHEA Grapalat" w:cs="Calibri"/>
                <w:kern w:val="0"/>
                <w:sz w:val="18"/>
                <w:szCs w:val="18"/>
                <w:lang w:val="hy-AM"/>
                <w14:ligatures w14:val="none"/>
              </w:rPr>
              <w:t>ով։</w:t>
            </w:r>
          </w:p>
        </w:tc>
      </w:tr>
    </w:tbl>
    <w:p w14:paraId="407B2513" w14:textId="3878B9FC" w:rsidR="003134FB" w:rsidRPr="001F2ECE" w:rsidRDefault="003134FB" w:rsidP="004579FC">
      <w:pPr>
        <w:jc w:val="both"/>
        <w:rPr>
          <w:rFonts w:ascii="GHEA Grapalat" w:hAnsi="GHEA Grapalat"/>
          <w:b/>
          <w:bCs/>
          <w:lang w:val="hy-AM"/>
        </w:rPr>
      </w:pPr>
    </w:p>
    <w:p w14:paraId="0A83B8B0" w14:textId="77777777" w:rsidR="003F19CA" w:rsidRPr="001F2ECE" w:rsidRDefault="003F19CA" w:rsidP="004579FC">
      <w:pPr>
        <w:jc w:val="both"/>
        <w:rPr>
          <w:rFonts w:ascii="GHEA Grapalat" w:hAnsi="GHEA Grapalat"/>
          <w:b/>
          <w:bCs/>
          <w:lang w:val="hy-AM"/>
        </w:rPr>
      </w:pPr>
    </w:p>
    <w:p w14:paraId="63707D45" w14:textId="247A8607" w:rsidR="00F73C90" w:rsidRPr="001F2ECE" w:rsidRDefault="00F73C90" w:rsidP="004579FC">
      <w:pPr>
        <w:jc w:val="both"/>
        <w:rPr>
          <w:rFonts w:ascii="GHEA Grapalat" w:hAnsi="GHEA Grapalat"/>
          <w:b/>
          <w:bCs/>
          <w:lang w:val="hy-AM"/>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bookmarkEnd w:id="0"/>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457D"/>
    <w:rsid w:val="001F2ECE"/>
    <w:rsid w:val="001F62C0"/>
    <w:rsid w:val="00267794"/>
    <w:rsid w:val="002A77D1"/>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C786C"/>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1596</Words>
  <Characters>9101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72</cp:revision>
  <dcterms:created xsi:type="dcterms:W3CDTF">2026-05-15T12:22:00Z</dcterms:created>
  <dcterms:modified xsi:type="dcterms:W3CDTF">2026-05-18T08:41:00Z</dcterms:modified>
</cp:coreProperties>
</file>